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6120130" cy="8416179"/>
            <wp:effectExtent b="0" l="0" r="0" t="0"/>
            <wp:docPr descr="C:\Users\1\Pictures\2017-10-14\018.jpg" id="1" name="image1.jpg"/>
            <a:graphic>
              <a:graphicData uri="http://schemas.openxmlformats.org/drawingml/2006/picture">
                <pic:pic>
                  <pic:nvPicPr>
                    <pic:cNvPr descr="C:\Users\1\Pictures\2017-10-14\018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4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4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24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24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24" w:firstLine="707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right="283" w:firstLine="567"/>
        <w:jc w:val="both"/>
        <w:rPr/>
      </w:pPr>
      <w:r w:rsidDel="00000000" w:rsidR="00000000" w:rsidRPr="00000000">
        <w:rPr>
          <w:rtl w:val="0"/>
        </w:rPr>
        <w:t xml:space="preserve">Рабочая программа по музыке для 6 класса составлена на основе авторской программы по  музыке  и в соответствии с утверждённым производственным календарём. Программа рассчитана на  34 часов.</w:t>
      </w:r>
    </w:p>
    <w:p w:rsidR="00000000" w:rsidDel="00000000" w:rsidP="00000000" w:rsidRDefault="00000000" w:rsidRPr="00000000" w14:paraId="00000009">
      <w:pPr>
        <w:shd w:fill="ffffff" w:val="clear"/>
        <w:ind w:right="283" w:firstLine="567"/>
        <w:jc w:val="both"/>
        <w:rPr/>
      </w:pPr>
      <w:r w:rsidDel="00000000" w:rsidR="00000000" w:rsidRPr="00000000">
        <w:rPr>
          <w:rtl w:val="0"/>
        </w:rPr>
        <w:t xml:space="preserve">Рабочая программа по  музыке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/>
      </w:pPr>
      <w:r w:rsidDel="00000000" w:rsidR="00000000" w:rsidRPr="00000000">
        <w:rPr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/>
      </w:pPr>
      <w:r w:rsidDel="00000000" w:rsidR="00000000" w:rsidRPr="00000000">
        <w:rPr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426"/>
        </w:tabs>
        <w:spacing w:before="0" w:lineRule="auto"/>
        <w:ind w:left="426" w:right="283" w:hanging="426"/>
        <w:jc w:val="both"/>
        <w:rPr/>
      </w:pPr>
      <w:r w:rsidDel="00000000" w:rsidR="00000000" w:rsidRPr="00000000">
        <w:rPr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музыке, ориентированной на учебник, обеспечивающий процесс обучения (Искусство. Музыка :Учеб. для 6кл. общеобразоват. организаций.  / Т. И. Науменко, В. В. Алеева.М: Дрофа, 2013)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3.ПЛАНИРУЕМЫЕ РЕЗУЛЬТАТЫ ОСВОЕНИЯ ПРЕДМЕТА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области личностных результатов: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совершенствование художественного вкуса;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овладение художественными умениями и навыками в процессе продуктивной музыкально-творческой деятельности;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формирование навыков самостоятельной, целенаправленной, содержательной музыкально-учебной деятельности;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сотрудничество в ходе решения коллективных музыкально-творческих задач.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области метапредметных результатов: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анализ собственной учебной деятельности и внесение необходимых корректив для достижения запланированных результатов;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проявление творческой инициативы и самостоятельности в процессе овладения учебными действиями;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размышление о воздействии музыки на человека, ее взаимосвязи с жизнью и другими видами искусства;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применение полученных знаний о музыке как виде искусства для решения разнообразных художественно-творческих задач;</w:t>
      </w:r>
      <w:r w:rsidDel="00000000" w:rsidR="00000000" w:rsidRPr="00000000">
        <w:rPr>
          <w:rFonts w:ascii="SchoolBookSanPin" w:cs="SchoolBookSanPin" w:eastAsia="SchoolBookSanPin" w:hAnsi="SchoolBookSanPin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общение, взаимодействие со сверстниками в совместной творческой деятельности.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области предметных результатов: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определение в прослушанном музыкальном произведении его главных выразительных средств — ритма, мелодии, гармонии, полифонических приемов, фактуры, тембров, динамики;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умение отразить понимание художественного воздействия музыкальных средств в размышлениях о музыке (устно и письменно);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проявление навыков вокально-хоровой деятельности - исполнение одно-двухголосных произведений с аккомпанементом, умение исполнять более сложные ритмические рисунки (синкопы, ломбардский ритм, остинатный ритм).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Содержание шестого класса отражает проблему художественного воздействия музыки, воплощённой в средствах музыкальной выразительности. Разбор музыкальных произведений нацелен на общую задачу: раскрыть значение музыки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Ритм, мелодия, гармония, полифонические жанры, тембры, динамика предстают не просто как средства музыкального языка, но и как выразители многообразного мира чувств, настроений и характеров.</w:t>
      </w:r>
    </w:p>
    <w:p w:rsidR="00000000" w:rsidDel="00000000" w:rsidP="00000000" w:rsidRDefault="00000000" w:rsidRPr="00000000" w14:paraId="00000025">
      <w:pPr>
        <w:ind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СОДЕРЖАНИЕ ПРЕДМЕТА</w:t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5610"/>
        <w:gridCol w:w="3285"/>
        <w:tblGridChange w:id="0">
          <w:tblGrid>
            <w:gridCol w:w="959"/>
            <w:gridCol w:w="5610"/>
            <w:gridCol w:w="32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before="2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before="20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Вводный урок.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spacing w:before="20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«Тысяча миров» музыки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Как создаётся музыкальное произведение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Ритм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Мелодия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Полифония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Фактура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Тембры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Динамика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Чудесная тайна музыки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before="2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spacing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2124" w:firstLine="707.9999999999998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2124" w:firstLine="707.9999999999998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2124" w:firstLine="707.999999999999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5. ТЕМАТИЧЕСКОЕ ПЛАНИРОВАНИЕ</w:t>
      </w:r>
    </w:p>
    <w:tbl>
      <w:tblPr>
        <w:tblStyle w:val="Table2"/>
        <w:tblW w:w="1020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4547"/>
        <w:gridCol w:w="851"/>
        <w:gridCol w:w="850"/>
        <w:gridCol w:w="851"/>
        <w:gridCol w:w="2408"/>
        <w:tblGridChange w:id="0">
          <w:tblGrid>
            <w:gridCol w:w="693"/>
            <w:gridCol w:w="4547"/>
            <w:gridCol w:w="851"/>
            <w:gridCol w:w="850"/>
            <w:gridCol w:w="851"/>
            <w:gridCol w:w="2408"/>
          </w:tblGrid>
        </w:tblGridChange>
      </w:tblGrid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Кол-во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Причина корректировки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Вводный урок «Музыка души»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1: «Тысяча миров» музыки</w:t>
            </w:r>
            <w:r w:rsidDel="00000000" w:rsidR="00000000" w:rsidRPr="00000000">
              <w:rPr>
                <w:rtl w:val="0"/>
              </w:rPr>
              <w:t xml:space="preserve"> (7ч)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Наш вечный спутник.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Искусство и фантазия.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Искусство-память человечества.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чем сила музыки.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  <w:t xml:space="preserve">Волшебная сила музыки.</w:t>
            </w:r>
          </w:p>
          <w:p w:rsidR="00000000" w:rsidDel="00000000" w:rsidP="00000000" w:rsidRDefault="00000000" w:rsidRPr="00000000" w14:paraId="0000009B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Музыка объединяет людей.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Музыка объединяет людей.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2: «Как создаётся музыкальное произведение» (1ч)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pos="247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Единство музыкального произведения.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3: «Ритм» (7ч)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Вначале был ритм.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 чём рассказывает музыкальный ритм.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 чём рассказывает музыкальный ритм.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Диалог метра и ритма.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 адажио к престо.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 адажио к престо.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20.12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4: «Мелодия»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«Мелодия – душа музыки».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«Мелодией одной звучит печаль и радость».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Мелодия «угадывает» нас самих.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5: «Гармония»  (4ч)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Что такое гармония в музыке.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Два начала гармонии.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 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Эмоциональный мир музыкальной гармонии.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  <w:t xml:space="preserve">Красочность музыкальной гармонии.</w:t>
            </w:r>
          </w:p>
          <w:p w:rsidR="00000000" w:rsidDel="00000000" w:rsidP="00000000" w:rsidRDefault="00000000" w:rsidRPr="00000000" w14:paraId="00000126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6: «Полифония»</w:t>
            </w:r>
            <w:r w:rsidDel="00000000" w:rsidR="00000000" w:rsidRPr="00000000">
              <w:rPr>
                <w:rtl w:val="0"/>
              </w:rPr>
              <w:t xml:space="preserve">  (2ч)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  <w:t xml:space="preserve">Мир образов полифонической музыки.</w:t>
            </w:r>
          </w:p>
          <w:p w:rsidR="00000000" w:rsidDel="00000000" w:rsidP="00000000" w:rsidRDefault="00000000" w:rsidRPr="00000000" w14:paraId="00000135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Философия фуги.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7: «Фактура» 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Какой бывает музыкальная фактура.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Пространство фактуры.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8: «Тембры» (3ч)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Тембры – музыкальные краски.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Соло и тутти.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Соло и тутти.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9: «Динамика» 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Громкость и тишина в музыке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Тонкая палитра оттенков.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Тема 10: «Чудесная тайна музыки»  (2ч)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  <w:t xml:space="preserve">По законам красоты.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tabs>
                <w:tab w:val="left" w:pos="708"/>
                <w:tab w:val="center" w:pos="4677"/>
                <w:tab w:val="right" w:pos="9355"/>
              </w:tabs>
              <w:rPr/>
            </w:pPr>
            <w:r w:rsidDel="00000000" w:rsidR="00000000" w:rsidRPr="00000000">
              <w:rPr>
                <w:rtl w:val="0"/>
              </w:rPr>
              <w:t xml:space="preserve">По законам красоты.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choolBookSanPi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0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